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2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397"/>
        <w:gridCol w:w="49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8" w:type="dxa"/>
            <w:vAlign w:val="top"/>
            <w:textDirection w:val="lrTb"/>
            <w:noWrap w:val="false"/>
          </w:tcPr>
          <w:p>
            <w:pPr>
              <w:ind w:left="720" w:right="0" w:firstLine="0"/>
              <w:jc w:val="right"/>
              <w:spacing w:after="0" w:line="288" w:lineRule="atLeast"/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Доклад 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государственного </w:t>
            </w: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регистратора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Межмуниципального</w:t>
            </w:r>
            <w:r>
              <w:rPr>
                <w:i/>
                <w:iCs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Новоалтайского отдела </w:t>
              <w:br/>
              <w:t xml:space="preserve">Управления</w:t>
            </w:r>
            <w:r>
              <w:rPr>
                <w:i/>
                <w:iCs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Росреестра по Алтайскому краю</w:t>
            </w:r>
            <w:r>
              <w:rPr>
                <w:i/>
                <w:iCs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Котовой А.В</w:t>
            </w:r>
            <w:r>
              <w:rPr>
                <w:rFonts w:ascii="Times New Roman" w:hAnsi="Times New Roman" w:eastAsia="Times New Roman" w:cs="Times New Roman"/>
                <w:i/>
                <w:color w:val="22272f"/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spacing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ind w:left="0" w:right="0" w:firstLine="0"/>
              <w:spacing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pStyle w:val="691"/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  <w:t xml:space="preserve">Тема: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1"/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«Типичные ошибки кадастровых инженеров»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Добрый день, уважаемые коллеги!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Хотелось бы обратить ваше внимание на некоторые аспекты при подготовке межевых и технических планов.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Общие принципы образования земельных участков регламентируются главой 1.1 Земельного кодекса Российской Федерации от 25.10.2001 N 136-ФЗ. Так, согласно ст. 11.2 земельные участки образуются при разделе, объединении, перераспределении земельных участков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 выделе из земельных участков, а также из земель, находящихся </w:t>
        <w:br/>
        <w:t xml:space="preserve">в государственной или муниципальной собственности. Часть 3 указанной статьи устанавливает, что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участков, из которых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 разделе, объединении, перераспределении или выделе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образуются земельные участки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за исключением случаев, установленных федеральными законами (например, образование земельного участка в целях размещения линейного объекта на землях лесного фонда, образование земельного участка в рамках гаражной амнистии, для ведения садоводства). Данну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ю норму дублируют и положения п. 52 Приказа Росреестра от 14.12.2021 N П/0592 "Об утверждении формы и состава сведений межевого плана, требований к его подготовке"(далее - Требования) - «вид (виды) разрешенного использования образуемых земельных участков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олжен (должны) соответствовать сведениям ЕГРН о виде (видах) разрешенного использования исходного земельного участка (исходных земельных участков), за исключением случаев, установленных законодательством Российской Федерации».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То есть, при объединении, перераспределении земельных участков с разными видами разрешенного использования, вид разрешенного использования каждого вновь образованного участка должен содержать все виды разрешенного использования исходных участков через запя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тую. Несоблюдение данных требований является основанием для приостановления государственного кадастрового учета и (или) регистрации прав на основании п. 7 ч. 1 ст.26 ФЗ от 13.07.2015 N 218-ФЗ "О государственной регистрации недвижимости" (далее — Закон о 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гистрации).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При этом нельзя забывать 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минимальных и максимальных размерах земельного участка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установленных для каждого из видов разрешенного использования Градостроительными регламентами, содержащимися в Правилах землепользования и застройки муниципальных образований. Согласно п. 53 Требований предельные минимальный и максимальный размеры, соотв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етствующие виду разрешенного использования земельного участка указываются на основании документов, устанавливающих такие размеры в соответствии с законодательством Российской Федерации. Сведения о таких документах указываются в разделе "Исходные данные".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Напомню, что официальным ресурсом для опубликования документов территориального планирования и градостроительного зонирования является Федеральная государственная информационная система территориального планирования - ФГИС ТП (</w:t>
      </w:r>
      <w:hyperlink r:id="rId11" w:tooltip="https://fgistp.economy.gov.ru/" w:history="1">
        <w:r>
          <w:rPr>
            <w:rStyle w:val="849"/>
            <w:rFonts w:ascii="Times New Roman" w:hAnsi="Times New Roman" w:eastAsia="Times New Roman" w:cs="Times New Roman"/>
            <w:color w:val="000080"/>
            <w:sz w:val="28"/>
            <w:szCs w:val="28"/>
            <w:u w:val="single"/>
          </w:rPr>
          <w:t xml:space="preserve">https://fgistp.economy.gov.ru/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 Также информация об утвержденных Правилах землепользования и застройки содержится на официальных сайтах Администраций.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Несоответствие размеров образуемого или измененного земельного участка установленным в соответствии с федеральным законом требованиям к предельным (минимальным или максимальным) размерам является основанием для приостановления государственного кадастрового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учета и (или) регистрации прав на основании п. 28 ч. 1 ст.26 Закона о регистрации.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 Также важным аспектом как при образовании земельных участков, так и при уточнении их границ является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обеспечение земельных участков доступом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проходом или проездом от земельных участков или земель общего пользования к земельному участку, в отношении которого представлено заявление, или к иным земельным участкам.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Сведения об обеспечении земельных участков доступом посредством смежных земельных участков включаются в межевой план на основании соответствующих договоров либо соглашений, заключаемых между собственниками земельных участков либо лицами, которым предоставл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ены такие земельные участки, за исключением случаев, если смежные земельные участки находятся в государственной (в том числе до ее разграничения) или муниципальной собственности и свободны от прав третьих лиц. Копии таких документов включаются в Приложение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Согласно п. 56 Требований, в случае если земельный участок является многоконтурным земельным участком, то доступ обеспечивается к каждому контуру.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Отсутствие доступа к земельному участку, в отношении которого представлено заявление или к иным земельным участкам является основанием для приостановления государственного кадастрового учета и (или) регистрации прав на основании п. 26 ч. 1 ст. 26 Закона 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регистрации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 Ещё одним условием для образования земельных участков является н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аличие письменного согласия землепользователей, землевладельцев, арендаторов, залогодержателей исходных земельных участков.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Такое согласие не требуется в следующих случаях: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образование земельных участков из земельных участков, находящихся в государственной или муниципальной собственности и предоставленных государственным или муниципальным унитарным предприятиям, государственным или муниципальным учреждениям;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образование земельных участков на основании решения суда, предусматривающего раздел, объединение, перераспределение или выдел земельных участков в обязательном порядке;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образование земельных участков в связи с их изъятием для государственных или муниципальных нужд;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4) образование земельных участков в связи с установлением границ вахтовых и иных временных поселков, созданных до 1 января 2007 года в границах земель лесного фонда для заготовки древесины, и военных городков, созданных в границах лесничеств, лесопарков 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землях лесного фонда или землях обороны и безопасности для размещения впоследствии упраздненных воинских частей (подразделений), соединений, военных образовательных организаций высшего образования, иных организаций Вооруженных Сил Российской Федерации, 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йск национальной гвардии Российской Федерации, органов государственной охраны (далее - военные городки).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5) образование земельных участков, на которых расположены самовольные постройки в соответствии с пунктом 5 статьи 46, пунктом 6.2 статьи 54, пунктом 2 статьи 54.1 ЗК РФ.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6) образование земельного участка в связи с разделом земельного участка для целей, предусмотренных статьей 13 ФЗ от 30 декабря 2004 года N 214-ФЗ "Об участии в долевом строительстве многоквартирных домов и иных объектов недвижимости и о внесении изменений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некоторые законодательные акты РФ", если иное не предусмотрено договором залога.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Кроме того, Федеральным законом от 24 июля 2002 года N 101-ФЗ "Об обороте земель сельскохозяйственного назначения" предусмотрено, что участник долевой собственности, выразивший на общем собрании несогласие с передачей в аренду земельного участка, находящег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ося в долевой собственности, или с условиями договора аренды такого земельного участка, в случае передачи его в аренду вправе выделить земельный участок в счет принадлежащих ему земельной доли или земельных долей по правилам, установленным пунктом 4 статьи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13 настоящего Федерального закона, и распорядиться выделенным земельным участком по своему усмотрению. При этом согласие арендатора земельного участка или залогодержателя права аренды земельного участка на выдел в счет земельной доли или земельных долей 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емельного участка не требуется и договор аренды или залог прав аренды в отношении выделенного земельного участка прекращается.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 всех остальных случаях письменное согласие землепользователей, землевладельцев, арендаторов, залогодержателей исходных земельных участков является обязательным приложением к документам, представляемым в целях государственной регистрации прав на образуем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ые земельные участки.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5. Хотелось бы напомнить, что порядок присвоения объектам недвижимости кадастровых номеров установлен Приказом Росреестра от 22.05.2023 № П/0183 «Об утверждении порядка кадастрового деления территории Российской Федерации, порядка присвоения объектам недви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жимости кадастровых номеров, номеров регистрации, реестровых номеров границ». Пунктом 5 указанного Приказа установлены особенности присвоения кадастровых номеров: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если земельный участок располагается одновременно на территории нескольких смежных кадастровых кварталов одного кадастрового района или разных кадастровых районов кадастрового округа, кадастровый номер земельному участку присваивается: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1.- в кадастровом квартале, в котором располагается большая часть площади земельного участка, если такой земельный участок располагается в двух кадастровых кварталах;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в кадастровом квартале с порядковым номером "0", границы которого совпадают с границами кадастрового района,в случае: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если в кадастровых кварталах располагаются равные по площади части земельного участка;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или земельный участок располагается в трех и более кадастровых кварталах;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или земельный участок является многоконтурным и контуры расположены в разных кадастровых кварталах.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6. В соответствии с п. 37 Требований при наличии на образуемом, уточняемом или измененном ЗУ зданий, сооружений, объектов незавершенного строительства, единых недвижимых комплексов в графе "3" </w:t>
      </w:r>
      <w:r>
        <w:rPr>
          <w:rFonts w:ascii="Times New Roman" w:hAnsi="Times New Roman" w:eastAsia="Times New Roman" w:cs="Times New Roman"/>
          <w:color w:val="0000ff"/>
          <w:sz w:val="28"/>
          <w:szCs w:val="28"/>
        </w:rPr>
        <w:t xml:space="preserve">строки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"Иные сведения" указываются кадастровые номера таких объектов недвижимости. Прошу обратить внимание, в частности, на линейные сооружения как в случае образования земельных участков, так и при уточнении границ.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 касается под готовки технических планов, то хотелось бы напомнить, что с 01.03.2025г. ч. 1 ст. 26 Закона о регистрации дополнена новым пунктом 21.2, предусматривающим новое основание для приостановления ГКУ и (или) ГРП: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 ЕГРН отсутствуют сведения о местоположении границ земельного участка, на котором расположены здание, сооружение, объект незавершенного строительства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(за исключением случаев, если такое сооружение является линейным объектом или такой объект незавершенного строительства является линейным объектом, строительство которого не завершено),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для осуществления государственного кадастрового учета которых и (или) государственной регистрации прав на которые подано заявление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кроме случаев, если заявление об осуществлении государственного кадастрового учета и (или) государственной регистрации прав подано в связи с прекращением существования таких здания, сооружения, объекта незавершенного строительства. Таким образом, постано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вка на государственный кадастровый учет или учет изменений в отношении объектов капитального строительства возможен только при условии наличия в ЕГРН описания местоположения границ земельных участков, на которых они расположены.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1134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СПАСИБО ЗА ВНИМАНИЕ.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278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</w:r>
    <w:fldSimple w:instr="PAGE \* MERGEFORMAT"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eastAsia="Times New Roman" w:cs="Times New Roman"/>
        <w:sz w:val="28"/>
        <w:szCs w:val="28"/>
      </w:rPr>
    </w:r>
    <w:r>
      <w:rPr>
        <w:rFonts w:ascii="Times New Roman" w:hAnsi="Times New Roman" w:eastAsia="Times New Roman" w:cs="Times New Roman"/>
        <w:sz w:val="28"/>
        <w:szCs w:val="28"/>
      </w:rPr>
    </w:r>
  </w:p>
  <w:p>
    <w:pPr>
      <w:pStyle w:val="7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7"/>
    <w:next w:val="867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7"/>
    <w:next w:val="867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7"/>
    <w:next w:val="867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7"/>
    <w:next w:val="867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Title"/>
    <w:basedOn w:val="867"/>
    <w:next w:val="867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67"/>
    <w:next w:val="867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67"/>
    <w:next w:val="867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7"/>
    <w:next w:val="867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7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67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3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4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5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6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7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8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7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1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No Spacing"/>
    <w:basedOn w:val="867"/>
    <w:uiPriority w:val="1"/>
    <w:qFormat/>
    <w:pPr>
      <w:spacing w:after="0" w:line="240" w:lineRule="auto"/>
    </w:pPr>
  </w:style>
  <w:style w:type="paragraph" w:styleId="871">
    <w:name w:val="List Paragraph"/>
    <w:basedOn w:val="867"/>
    <w:uiPriority w:val="34"/>
    <w:qFormat/>
    <w:pPr>
      <w:contextualSpacing/>
      <w:ind w:left="720"/>
    </w:pPr>
  </w:style>
  <w:style w:type="character" w:styleId="872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hyperlink" Target="https://fgistp.economy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2025-04-25T02:08:51Z</dcterms:modified>
</cp:coreProperties>
</file>